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95" w:rsidRPr="006D71DE" w:rsidRDefault="00B32A95" w:rsidP="00EA63D0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-85725</wp:posOffset>
            </wp:positionV>
            <wp:extent cx="1524000" cy="371475"/>
            <wp:effectExtent l="19050" t="0" r="0" b="0"/>
            <wp:wrapTopAndBottom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6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A95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-428625</wp:posOffset>
            </wp:positionV>
            <wp:extent cx="1118870" cy="889000"/>
            <wp:effectExtent l="19050" t="0" r="5080" b="0"/>
            <wp:wrapTopAndBottom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3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1DE">
        <w:rPr>
          <w:lang w:val="el-GR"/>
        </w:rPr>
        <w:tab/>
      </w:r>
      <w:r w:rsidR="006D71DE">
        <w:rPr>
          <w:lang w:val="el-GR"/>
        </w:rPr>
        <w:tab/>
      </w:r>
      <w:r w:rsidR="006D71DE">
        <w:rPr>
          <w:lang w:val="el-GR"/>
        </w:rPr>
        <w:tab/>
      </w:r>
      <w:r w:rsidR="006D71DE">
        <w:rPr>
          <w:lang w:val="el-GR"/>
        </w:rPr>
        <w:tab/>
      </w:r>
      <w:r w:rsidR="006D71DE">
        <w:rPr>
          <w:lang w:val="el-GR"/>
        </w:rPr>
        <w:tab/>
      </w:r>
      <w:r w:rsidR="006D71DE">
        <w:rPr>
          <w:lang w:val="el-GR"/>
        </w:rPr>
        <w:tab/>
      </w:r>
      <w:r w:rsidR="006D71DE">
        <w:rPr>
          <w:lang w:val="el-GR"/>
        </w:rPr>
        <w:tab/>
      </w:r>
      <w:r w:rsidR="006D71DE">
        <w:rPr>
          <w:lang w:val="el-GR"/>
        </w:rPr>
        <w:tab/>
      </w:r>
      <w:r w:rsidR="006D71DE">
        <w:rPr>
          <w:lang w:val="el-GR"/>
        </w:rPr>
        <w:tab/>
      </w:r>
      <w:r w:rsidR="006D71DE">
        <w:rPr>
          <w:lang w:val="el-GR"/>
        </w:rPr>
        <w:tab/>
        <w:t>Αμαλιάδα 29/09/2014</w:t>
      </w:r>
    </w:p>
    <w:p w:rsidR="00B32A95" w:rsidRPr="006D71DE" w:rsidRDefault="00B32A95" w:rsidP="00EA63D0">
      <w:pPr>
        <w:rPr>
          <w:lang w:val="el-GR"/>
        </w:rPr>
      </w:pPr>
    </w:p>
    <w:p w:rsidR="00EA63D0" w:rsidRPr="00B32A95" w:rsidRDefault="00EA63D0" w:rsidP="00B32A95">
      <w:pPr>
        <w:jc w:val="center"/>
        <w:rPr>
          <w:b/>
          <w:lang w:val="el-GR"/>
        </w:rPr>
      </w:pPr>
      <w:r w:rsidRPr="00B32A95">
        <w:rPr>
          <w:b/>
          <w:lang w:val="el-GR"/>
        </w:rPr>
        <w:t>"</w:t>
      </w:r>
      <w:r w:rsidRPr="00B32A95">
        <w:rPr>
          <w:b/>
        </w:rPr>
        <w:t>AWARD</w:t>
      </w:r>
      <w:r w:rsidRPr="00B32A95">
        <w:rPr>
          <w:b/>
          <w:lang w:val="el-GR"/>
        </w:rPr>
        <w:t>: Πρόγραμμα αξιοποίησης  των γεωργικών πλαστικών αποβλήτων για μια ανταγωνιστική και βιώσιμη περιφερειακή ανάπτυξη"</w:t>
      </w:r>
    </w:p>
    <w:p w:rsidR="00EA63D0" w:rsidRPr="00EA63D0" w:rsidRDefault="00EA63D0" w:rsidP="00CA6A53">
      <w:pPr>
        <w:ind w:firstLine="720"/>
        <w:jc w:val="both"/>
        <w:rPr>
          <w:lang w:val="el-GR"/>
        </w:rPr>
      </w:pPr>
      <w:r>
        <w:rPr>
          <w:lang w:val="el-GR"/>
        </w:rPr>
        <w:t>Συνεχίσθηκαν κα</w:t>
      </w:r>
      <w:r w:rsidR="00CA6A53">
        <w:rPr>
          <w:lang w:val="el-GR"/>
        </w:rPr>
        <w:t>ι</w:t>
      </w:r>
      <w:r>
        <w:rPr>
          <w:lang w:val="el-GR"/>
        </w:rPr>
        <w:t xml:space="preserve"> τ</w:t>
      </w:r>
      <w:r w:rsidR="00CA6A53">
        <w:rPr>
          <w:lang w:val="el-GR"/>
        </w:rPr>
        <w:t>ο</w:t>
      </w:r>
      <w:r>
        <w:rPr>
          <w:lang w:val="el-GR"/>
        </w:rPr>
        <w:t xml:space="preserve"> Γ’τρίμηνο οἱ δραστηριότητες του προγρ</w:t>
      </w:r>
      <w:r w:rsidR="00B32A95">
        <w:rPr>
          <w:lang w:val="el-GR"/>
        </w:rPr>
        <w:t>ά</w:t>
      </w:r>
      <w:r>
        <w:rPr>
          <w:lang w:val="el-GR"/>
        </w:rPr>
        <w:t xml:space="preserve">μματος </w:t>
      </w:r>
      <w:r>
        <w:t>AWARD</w:t>
      </w:r>
      <w:r w:rsidRPr="00EA63D0">
        <w:rPr>
          <w:lang w:val="el-GR"/>
        </w:rPr>
        <w:t xml:space="preserve">, </w:t>
      </w:r>
      <w:r>
        <w:rPr>
          <w:lang w:val="el-GR"/>
        </w:rPr>
        <w:t xml:space="preserve">που </w:t>
      </w:r>
      <w:r w:rsidR="00CA6A53">
        <w:rPr>
          <w:lang w:val="el-GR"/>
        </w:rPr>
        <w:t>ε</w:t>
      </w:r>
      <w:r>
        <w:rPr>
          <w:lang w:val="el-GR"/>
        </w:rPr>
        <w:t>κτελε</w:t>
      </w:r>
      <w:r w:rsidR="00CA6A53">
        <w:rPr>
          <w:lang w:val="el-GR"/>
        </w:rPr>
        <w:t>ί</w:t>
      </w:r>
      <w:r>
        <w:rPr>
          <w:lang w:val="el-GR"/>
        </w:rPr>
        <w:t xml:space="preserve">  ὁ Δ</w:t>
      </w:r>
      <w:r w:rsidR="00CA6A53">
        <w:rPr>
          <w:lang w:val="el-GR"/>
        </w:rPr>
        <w:t>ή</w:t>
      </w:r>
      <w:r>
        <w:rPr>
          <w:lang w:val="el-GR"/>
        </w:rPr>
        <w:t xml:space="preserve">μος </w:t>
      </w:r>
      <w:r w:rsidR="00CA6A53">
        <w:rPr>
          <w:lang w:val="el-GR"/>
        </w:rPr>
        <w:t>Ήλιδα</w:t>
      </w:r>
      <w:r>
        <w:rPr>
          <w:lang w:val="el-GR"/>
        </w:rPr>
        <w:t xml:space="preserve">ς,  σὲ συνεργασία </w:t>
      </w:r>
      <w:r w:rsidR="00B32A95">
        <w:rPr>
          <w:lang w:val="el-GR"/>
        </w:rPr>
        <w:t>με</w:t>
      </w:r>
      <w:r>
        <w:rPr>
          <w:lang w:val="el-GR"/>
        </w:rPr>
        <w:t xml:space="preserve">  </w:t>
      </w:r>
      <w:r w:rsidR="00B32A95">
        <w:rPr>
          <w:lang w:val="el-GR"/>
        </w:rPr>
        <w:t>εταίρους</w:t>
      </w:r>
      <w:r>
        <w:rPr>
          <w:lang w:val="el-GR"/>
        </w:rPr>
        <w:t xml:space="preserve"> </w:t>
      </w:r>
      <w:r w:rsidR="00466FFD">
        <w:rPr>
          <w:lang w:val="el-GR"/>
        </w:rPr>
        <w:t xml:space="preserve">από </w:t>
      </w:r>
      <w:r>
        <w:rPr>
          <w:lang w:val="el-GR"/>
        </w:rPr>
        <w:t xml:space="preserve"> </w:t>
      </w:r>
      <w:r w:rsidR="00466FFD">
        <w:rPr>
          <w:lang w:val="el-GR"/>
        </w:rPr>
        <w:t>την</w:t>
      </w:r>
      <w:r w:rsidR="00B32A95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B32A95">
        <w:rPr>
          <w:lang w:val="el-GR"/>
        </w:rPr>
        <w:t>Ιταλία</w:t>
      </w:r>
      <w:r>
        <w:rPr>
          <w:lang w:val="el-GR"/>
        </w:rPr>
        <w:t xml:space="preserve"> (</w:t>
      </w:r>
      <w:r w:rsidR="00B32A95">
        <w:rPr>
          <w:lang w:val="el-GR"/>
        </w:rPr>
        <w:t>Πολυτεχνείο</w:t>
      </w:r>
      <w:r>
        <w:rPr>
          <w:lang w:val="el-GR"/>
        </w:rPr>
        <w:t xml:space="preserve"> Μπάρι, ΙΦΟΑ, Περιφέρεια κλπ), </w:t>
      </w:r>
      <w:r w:rsidR="00CA6A53">
        <w:rPr>
          <w:lang w:val="el-GR"/>
        </w:rPr>
        <w:t>στα</w:t>
      </w:r>
      <w:r>
        <w:rPr>
          <w:lang w:val="el-GR"/>
        </w:rPr>
        <w:t xml:space="preserve"> πλαίσ</w:t>
      </w:r>
      <w:r w:rsidR="00CA6A53">
        <w:rPr>
          <w:lang w:val="el-GR"/>
        </w:rPr>
        <w:t>ι</w:t>
      </w:r>
      <w:r>
        <w:rPr>
          <w:lang w:val="el-GR"/>
        </w:rPr>
        <w:t>α τ</w:t>
      </w:r>
      <w:r w:rsidR="00CA6A53">
        <w:rPr>
          <w:lang w:val="el-GR"/>
        </w:rPr>
        <w:t>η</w:t>
      </w:r>
      <w:r>
        <w:rPr>
          <w:lang w:val="el-GR"/>
        </w:rPr>
        <w:t>ς διακρατικ</w:t>
      </w:r>
      <w:r w:rsidR="00CA6A53">
        <w:rPr>
          <w:lang w:val="el-GR"/>
        </w:rPr>
        <w:t>ή</w:t>
      </w:r>
      <w:r>
        <w:rPr>
          <w:lang w:val="el-GR"/>
        </w:rPr>
        <w:t xml:space="preserve">ς συνεργασίας </w:t>
      </w:r>
      <w:r>
        <w:t>INTEREG</w:t>
      </w:r>
      <w:r>
        <w:rPr>
          <w:lang w:val="el-GR"/>
        </w:rPr>
        <w:t xml:space="preserve"> . </w:t>
      </w:r>
    </w:p>
    <w:p w:rsidR="00EA63D0" w:rsidRDefault="00CA6A53" w:rsidP="006D71DE">
      <w:pPr>
        <w:jc w:val="both"/>
        <w:rPr>
          <w:lang w:val="el-GR"/>
        </w:rPr>
      </w:pPr>
      <w:r>
        <w:rPr>
          <w:lang w:val="el-GR"/>
        </w:rPr>
        <w:t>Ό</w:t>
      </w:r>
      <w:r w:rsidR="00EA63D0">
        <w:rPr>
          <w:lang w:val="el-GR"/>
        </w:rPr>
        <w:t>πως ε</w:t>
      </w:r>
      <w:r w:rsidR="006D71DE">
        <w:rPr>
          <w:lang w:val="el-GR"/>
        </w:rPr>
        <w:t>ί</w:t>
      </w:r>
      <w:r w:rsidR="00EA63D0">
        <w:rPr>
          <w:lang w:val="el-GR"/>
        </w:rPr>
        <w:t>ναι γνωστό,  τ</w:t>
      </w:r>
      <w:r w:rsidR="00EA63D0" w:rsidRPr="00EA63D0">
        <w:rPr>
          <w:lang w:val="el-GR"/>
        </w:rPr>
        <w:t xml:space="preserve">α πλαστικά απορρίμματα του γεωργικού τομέα και των δύο περιοχών </w:t>
      </w:r>
      <w:r w:rsidR="00EA63D0">
        <w:t>Puglia</w:t>
      </w:r>
      <w:r w:rsidR="00EA63D0" w:rsidRPr="00EA63D0">
        <w:rPr>
          <w:lang w:val="el-GR"/>
        </w:rPr>
        <w:t xml:space="preserve"> και Δυτική</w:t>
      </w:r>
      <w:r w:rsidR="00EA63D0">
        <w:rPr>
          <w:lang w:val="el-GR"/>
        </w:rPr>
        <w:t xml:space="preserve">ς  Ελλάδος , </w:t>
      </w:r>
      <w:r w:rsidR="00EA63D0" w:rsidRPr="00EA63D0">
        <w:rPr>
          <w:lang w:val="el-GR"/>
        </w:rPr>
        <w:t>ως επί το πλείστον απορρίπτονται, με σοβαρό κίνδυνο γ</w:t>
      </w:r>
      <w:r w:rsidR="00EA63D0">
        <w:rPr>
          <w:lang w:val="el-GR"/>
        </w:rPr>
        <w:t xml:space="preserve">ια τους ίδιους τους αγρότες, </w:t>
      </w:r>
      <w:r w:rsidR="00EA63D0" w:rsidRPr="00EA63D0">
        <w:rPr>
          <w:lang w:val="el-GR"/>
        </w:rPr>
        <w:t xml:space="preserve">το περιβάλλον </w:t>
      </w:r>
      <w:r w:rsidR="00EA63D0">
        <w:rPr>
          <w:lang w:val="el-GR"/>
        </w:rPr>
        <w:t>καί τους πελάτες τους.</w:t>
      </w:r>
    </w:p>
    <w:p w:rsidR="00EA63D0" w:rsidRPr="00EA63D0" w:rsidRDefault="00EA63D0" w:rsidP="006D71DE">
      <w:pPr>
        <w:jc w:val="both"/>
        <w:rPr>
          <w:lang w:val="el-GR"/>
        </w:rPr>
      </w:pPr>
      <w:r>
        <w:rPr>
          <w:lang w:val="el-GR"/>
        </w:rPr>
        <w:t xml:space="preserve">Ἡ σχετικὴ  έρευνα, ποὺ διεξήχθη, σὲ πάνω ἀπό 40 ἀγροτικες ἐπιχειρήσεις, ἐπιμελητήριο, καταστήματα </w:t>
      </w:r>
      <w:r w:rsidR="00CA6A53">
        <w:rPr>
          <w:lang w:val="el-GR"/>
        </w:rPr>
        <w:t>αγροτικών</w:t>
      </w:r>
      <w:r>
        <w:rPr>
          <w:lang w:val="el-GR"/>
        </w:rPr>
        <w:t xml:space="preserve"> ἐφοδίων καὶ ἐταιρείες πλαστικ</w:t>
      </w:r>
      <w:r w:rsidR="00CA6A53">
        <w:rPr>
          <w:lang w:val="el-GR"/>
        </w:rPr>
        <w:t>ώ</w:t>
      </w:r>
      <w:r>
        <w:rPr>
          <w:lang w:val="el-GR"/>
        </w:rPr>
        <w:t xml:space="preserve">ν, </w:t>
      </w:r>
      <w:r w:rsidR="00CA6A53">
        <w:rPr>
          <w:lang w:val="el-GR"/>
        </w:rPr>
        <w:t>α</w:t>
      </w:r>
      <w:r>
        <w:rPr>
          <w:lang w:val="el-GR"/>
        </w:rPr>
        <w:t>πεκάλυψε, αν και σε πρ</w:t>
      </w:r>
      <w:r w:rsidR="00CA6A53">
        <w:rPr>
          <w:lang w:val="el-GR"/>
        </w:rPr>
        <w:t>ώι</w:t>
      </w:r>
      <w:r>
        <w:rPr>
          <w:lang w:val="el-GR"/>
        </w:rPr>
        <w:t xml:space="preserve">μο στάδιο </w:t>
      </w:r>
      <w:r w:rsidR="00CA6A53">
        <w:rPr>
          <w:lang w:val="el-GR"/>
        </w:rPr>
        <w:t>ό</w:t>
      </w:r>
      <w:r>
        <w:rPr>
          <w:lang w:val="el-GR"/>
        </w:rPr>
        <w:t>τι κύριες αιτίες ε</w:t>
      </w:r>
      <w:r w:rsidR="00CA6A53">
        <w:rPr>
          <w:lang w:val="el-GR"/>
        </w:rPr>
        <w:t>ί</w:t>
      </w:r>
      <w:r>
        <w:rPr>
          <w:lang w:val="el-GR"/>
        </w:rPr>
        <w:t xml:space="preserve">ναι : </w:t>
      </w:r>
    </w:p>
    <w:p w:rsidR="00EA63D0" w:rsidRPr="00466FFD" w:rsidRDefault="00EA63D0" w:rsidP="006D71DE">
      <w:pPr>
        <w:pStyle w:val="a7"/>
        <w:numPr>
          <w:ilvl w:val="0"/>
          <w:numId w:val="1"/>
        </w:numPr>
        <w:jc w:val="both"/>
        <w:outlineLvl w:val="0"/>
        <w:rPr>
          <w:lang w:val="el-GR"/>
        </w:rPr>
      </w:pPr>
      <w:r w:rsidRPr="00466FFD">
        <w:rPr>
          <w:lang w:val="el-GR"/>
        </w:rPr>
        <w:t xml:space="preserve"> Δύσκολια συλλογής των </w:t>
      </w:r>
      <w:r>
        <w:t>APW</w:t>
      </w:r>
      <w:r w:rsidRPr="00466FFD">
        <w:rPr>
          <w:lang w:val="el-GR"/>
        </w:rPr>
        <w:t xml:space="preserve"> από τις πολλές και εκτεταμένες μικροφάρμες </w:t>
      </w:r>
    </w:p>
    <w:p w:rsidR="00EA63D0" w:rsidRPr="00466FFD" w:rsidRDefault="00EA63D0" w:rsidP="006D71DE">
      <w:pPr>
        <w:pStyle w:val="a7"/>
        <w:numPr>
          <w:ilvl w:val="0"/>
          <w:numId w:val="1"/>
        </w:numPr>
        <w:jc w:val="both"/>
        <w:rPr>
          <w:lang w:val="el-GR"/>
        </w:rPr>
      </w:pPr>
      <w:r w:rsidRPr="00466FFD">
        <w:rPr>
          <w:lang w:val="el-GR"/>
        </w:rPr>
        <w:t xml:space="preserve"> </w:t>
      </w:r>
      <w:r w:rsidR="00B32A95" w:rsidRPr="00466FFD">
        <w:rPr>
          <w:lang w:val="el-GR"/>
        </w:rPr>
        <w:t>Γραφειοκρατικές</w:t>
      </w:r>
      <w:r w:rsidR="00AE31C5" w:rsidRPr="00466FFD">
        <w:rPr>
          <w:lang w:val="el-GR"/>
        </w:rPr>
        <w:t xml:space="preserve"> απαιτήσεις και ρυθμιστικά κενά</w:t>
      </w:r>
      <w:r w:rsidRPr="00466FFD">
        <w:rPr>
          <w:lang w:val="el-GR"/>
        </w:rPr>
        <w:t xml:space="preserve"> </w:t>
      </w:r>
    </w:p>
    <w:p w:rsidR="00EA63D0" w:rsidRPr="00466FFD" w:rsidRDefault="00AE31C5" w:rsidP="006D71DE">
      <w:pPr>
        <w:pStyle w:val="a7"/>
        <w:numPr>
          <w:ilvl w:val="0"/>
          <w:numId w:val="1"/>
        </w:numPr>
        <w:jc w:val="both"/>
        <w:outlineLvl w:val="0"/>
        <w:rPr>
          <w:lang w:val="el-GR"/>
        </w:rPr>
      </w:pPr>
      <w:r w:rsidRPr="00466FFD">
        <w:rPr>
          <w:lang w:val="el-GR"/>
        </w:rPr>
        <w:t xml:space="preserve"> </w:t>
      </w:r>
      <w:r w:rsidR="00B32A95" w:rsidRPr="00466FFD">
        <w:rPr>
          <w:lang w:val="el-GR"/>
        </w:rPr>
        <w:t>Έλλειψη</w:t>
      </w:r>
      <w:r w:rsidRPr="00466FFD">
        <w:rPr>
          <w:lang w:val="el-GR"/>
        </w:rPr>
        <w:t xml:space="preserve"> των </w:t>
      </w:r>
      <w:r w:rsidR="00B32A95" w:rsidRPr="00466FFD">
        <w:rPr>
          <w:lang w:val="el-GR"/>
        </w:rPr>
        <w:t>πληροφόρησης</w:t>
      </w:r>
      <w:r w:rsidRPr="00466FFD">
        <w:rPr>
          <w:lang w:val="el-GR"/>
        </w:rPr>
        <w:t xml:space="preserve"> </w:t>
      </w:r>
      <w:r w:rsidR="00B32A95" w:rsidRPr="00466FFD">
        <w:rPr>
          <w:lang w:val="el-GR"/>
        </w:rPr>
        <w:t>και έλλειψη κίνητρων</w:t>
      </w:r>
      <w:r w:rsidR="00EA63D0" w:rsidRPr="00466FFD">
        <w:rPr>
          <w:lang w:val="el-GR"/>
        </w:rPr>
        <w:t xml:space="preserve"> των αγροτών </w:t>
      </w:r>
    </w:p>
    <w:p w:rsidR="00EA63D0" w:rsidRPr="00EA63D0" w:rsidRDefault="00AE31C5" w:rsidP="006D71DE">
      <w:pPr>
        <w:jc w:val="both"/>
        <w:rPr>
          <w:lang w:val="el-GR"/>
        </w:rPr>
      </w:pPr>
      <w:r>
        <w:rPr>
          <w:lang w:val="el-GR"/>
        </w:rPr>
        <w:t xml:space="preserve">Πέραν τούτου </w:t>
      </w:r>
      <w:r w:rsidR="00CA6A53">
        <w:rPr>
          <w:lang w:val="el-GR"/>
        </w:rPr>
        <w:t>αναλυτικοί</w:t>
      </w:r>
      <w:r>
        <w:rPr>
          <w:lang w:val="el-GR"/>
        </w:rPr>
        <w:t xml:space="preserve"> </w:t>
      </w:r>
      <w:r w:rsidR="00CA6A53">
        <w:rPr>
          <w:lang w:val="el-GR"/>
        </w:rPr>
        <w:t>υπολογισμοί</w:t>
      </w:r>
      <w:r>
        <w:rPr>
          <w:lang w:val="el-GR"/>
        </w:rPr>
        <w:t xml:space="preserve"> κατέδειξαν </w:t>
      </w:r>
      <w:r w:rsidR="00CA6A53">
        <w:rPr>
          <w:lang w:val="el-GR"/>
        </w:rPr>
        <w:t>ό</w:t>
      </w:r>
      <w:r>
        <w:rPr>
          <w:lang w:val="el-GR"/>
        </w:rPr>
        <w:t xml:space="preserve">τι ἡ </w:t>
      </w:r>
      <w:r w:rsidR="00CA6A53">
        <w:rPr>
          <w:lang w:val="el-GR"/>
        </w:rPr>
        <w:t>επεξεργασία</w:t>
      </w:r>
      <w:r>
        <w:rPr>
          <w:lang w:val="el-GR"/>
        </w:rPr>
        <w:t xml:space="preserve">, </w:t>
      </w:r>
      <w:r w:rsidR="00CA6A53">
        <w:rPr>
          <w:lang w:val="el-GR"/>
        </w:rPr>
        <w:t>επαναχρησιμοποίηση</w:t>
      </w:r>
      <w:r>
        <w:rPr>
          <w:lang w:val="el-GR"/>
        </w:rPr>
        <w:t xml:space="preserve">, </w:t>
      </w:r>
      <w:r w:rsidR="00CA6A53">
        <w:rPr>
          <w:lang w:val="el-GR"/>
        </w:rPr>
        <w:t>ανακύκλωση</w:t>
      </w:r>
      <w:r>
        <w:rPr>
          <w:lang w:val="el-GR"/>
        </w:rPr>
        <w:t xml:space="preserve"> και ἐνεργειακή μετατροπή</w:t>
      </w:r>
      <w:r w:rsidR="00EA63D0" w:rsidRPr="00EA63D0">
        <w:rPr>
          <w:lang w:val="el-GR"/>
        </w:rPr>
        <w:t xml:space="preserve"> </w:t>
      </w:r>
      <w:r>
        <w:rPr>
          <w:lang w:val="el-GR"/>
        </w:rPr>
        <w:t>τῶν πλαστικῶν εἶναι δυνατὴ καὶ παρουσιάζει οἰκονομικἠ εὐκαιρία.</w:t>
      </w:r>
    </w:p>
    <w:p w:rsidR="00EA63D0" w:rsidRDefault="00466FFD" w:rsidP="006D71DE">
      <w:pPr>
        <w:jc w:val="both"/>
        <w:rPr>
          <w:lang w:val="el-GR"/>
        </w:rPr>
      </w:pPr>
      <w:r>
        <w:rPr>
          <w:lang w:val="el-GR"/>
        </w:rPr>
        <w:t>Τα</w:t>
      </w:r>
      <w:r w:rsidR="00AE31C5">
        <w:rPr>
          <w:lang w:val="el-GR"/>
        </w:rPr>
        <w:t xml:space="preserve"> </w:t>
      </w:r>
      <w:r>
        <w:rPr>
          <w:lang w:val="el-GR"/>
        </w:rPr>
        <w:t xml:space="preserve">πλαστικά απόβλητα </w:t>
      </w:r>
      <w:r w:rsidR="00EA63D0">
        <w:t>APW</w:t>
      </w:r>
      <w:r>
        <w:rPr>
          <w:lang w:val="el-GR"/>
        </w:rPr>
        <w:t>(</w:t>
      </w:r>
      <w:r>
        <w:t>Agricultural</w:t>
      </w:r>
      <w:r w:rsidRPr="00466FFD">
        <w:rPr>
          <w:lang w:val="el-GR"/>
        </w:rPr>
        <w:t xml:space="preserve"> </w:t>
      </w:r>
      <w:r>
        <w:t>Plastic</w:t>
      </w:r>
      <w:r w:rsidRPr="00466FFD">
        <w:rPr>
          <w:lang w:val="el-GR"/>
        </w:rPr>
        <w:t xml:space="preserve"> </w:t>
      </w:r>
      <w:r w:rsidR="00CA6A53">
        <w:t>Waste</w:t>
      </w:r>
      <w:r>
        <w:rPr>
          <w:lang w:val="el-GR"/>
        </w:rPr>
        <w:t>)</w:t>
      </w:r>
      <w:r w:rsidR="00EA63D0" w:rsidRPr="00EA63D0">
        <w:rPr>
          <w:lang w:val="el-GR"/>
        </w:rPr>
        <w:t xml:space="preserve"> θα μπορούσε στην πρα</w:t>
      </w:r>
      <w:r w:rsidR="00AE31C5">
        <w:rPr>
          <w:lang w:val="el-GR"/>
        </w:rPr>
        <w:t xml:space="preserve">γματικότητα να είναι ένας πόρος </w:t>
      </w:r>
      <w:r w:rsidR="00EA63D0" w:rsidRPr="00EA63D0">
        <w:rPr>
          <w:lang w:val="el-GR"/>
        </w:rPr>
        <w:t xml:space="preserve"> α</w:t>
      </w:r>
      <w:r w:rsidR="00AE31C5">
        <w:rPr>
          <w:lang w:val="el-GR"/>
        </w:rPr>
        <w:t xml:space="preserve">ν ανακτηθεί σωστά και </w:t>
      </w:r>
      <w:r w:rsidR="00EA63D0" w:rsidRPr="00EA63D0">
        <w:rPr>
          <w:lang w:val="el-GR"/>
        </w:rPr>
        <w:t>να γίνει μια πηγή ενέργειας</w:t>
      </w:r>
      <w:r w:rsidR="00AE31C5">
        <w:rPr>
          <w:lang w:val="el-GR"/>
        </w:rPr>
        <w:t>. Μπορεῖ  μάλιστα, νὰ ωθήσει σ</w:t>
      </w:r>
      <w:r w:rsidR="00EA63D0" w:rsidRPr="00EA63D0">
        <w:rPr>
          <w:lang w:val="el-GR"/>
        </w:rPr>
        <w:t xml:space="preserve">την ενίσχυση της ανταγωνιστικότητας των γεωργικών επιχειρήσεων με τη μείωση του κόστους συλλογής και διάθεσης </w:t>
      </w:r>
      <w:r w:rsidR="00EA63D0">
        <w:t>APW</w:t>
      </w:r>
      <w:r w:rsidR="00EA63D0" w:rsidRPr="00EA63D0">
        <w:rPr>
          <w:lang w:val="el-GR"/>
        </w:rPr>
        <w:t xml:space="preserve"> και</w:t>
      </w:r>
      <w:r w:rsidR="00AE31C5">
        <w:rPr>
          <w:lang w:val="el-GR"/>
        </w:rPr>
        <w:t xml:space="preserve"> επανακτωντας  τ</w:t>
      </w:r>
      <w:r w:rsidR="00EA63D0" w:rsidRPr="00EA63D0">
        <w:rPr>
          <w:lang w:val="el-GR"/>
        </w:rPr>
        <w:t>ην αξία του</w:t>
      </w:r>
      <w:r w:rsidR="00AE31C5">
        <w:rPr>
          <w:lang w:val="el-GR"/>
        </w:rPr>
        <w:t>ς</w:t>
      </w:r>
      <w:r w:rsidR="00EA63D0" w:rsidRPr="00EA63D0">
        <w:rPr>
          <w:lang w:val="el-GR"/>
        </w:rPr>
        <w:t xml:space="preserve"> μέσω της επαναχρησ</w:t>
      </w:r>
      <w:r w:rsidR="00AE31C5">
        <w:rPr>
          <w:lang w:val="el-GR"/>
        </w:rPr>
        <w:t>ιμοποίησης.</w:t>
      </w:r>
    </w:p>
    <w:p w:rsidR="006A266F" w:rsidRDefault="006A266F" w:rsidP="006D71DE">
      <w:pPr>
        <w:jc w:val="both"/>
        <w:rPr>
          <w:lang w:val="el-GR"/>
        </w:rPr>
      </w:pPr>
      <w:r>
        <w:rPr>
          <w:lang w:val="el-GR"/>
        </w:rPr>
        <w:t>Ο Δημος, με την ομάδα έργου και τίς αρμόδιες υπηρεσίες, σέ συνεργασία μέ τους εταίρους προχώρησε στὴν προκήρυξη ἀνάθεσης έργου σέ ἐμπειρογνώμονες στοὺς τομεἰς Ἐνἐργειας, Διαχυσης, Επικοινωνιας, Διακρατικων Επαφών καἰ Διοίκησης του Εργου.</w:t>
      </w:r>
    </w:p>
    <w:p w:rsidR="006A266F" w:rsidRDefault="006A266F" w:rsidP="006D71DE">
      <w:pPr>
        <w:jc w:val="both"/>
        <w:rPr>
          <w:lang w:val="el-GR"/>
        </w:rPr>
      </w:pPr>
      <w:r>
        <w:rPr>
          <w:lang w:val="el-GR"/>
        </w:rPr>
        <w:t xml:space="preserve">Ομάδα </w:t>
      </w:r>
      <w:r w:rsidR="00844660">
        <w:rPr>
          <w:lang w:val="el-GR"/>
        </w:rPr>
        <w:t>ε</w:t>
      </w:r>
      <w:r>
        <w:rPr>
          <w:lang w:val="el-GR"/>
        </w:rPr>
        <w:t xml:space="preserve">πίσης </w:t>
      </w:r>
      <w:r w:rsidR="00844660">
        <w:rPr>
          <w:lang w:val="el-GR"/>
        </w:rPr>
        <w:t>ε</w:t>
      </w:r>
      <w:r>
        <w:rPr>
          <w:lang w:val="el-GR"/>
        </w:rPr>
        <w:t xml:space="preserve">μπειρογνωμόνων </w:t>
      </w:r>
      <w:r w:rsidR="00844660">
        <w:rPr>
          <w:lang w:val="el-GR"/>
        </w:rPr>
        <w:t>ε</w:t>
      </w:r>
      <w:r>
        <w:rPr>
          <w:lang w:val="el-GR"/>
        </w:rPr>
        <w:t>πισκέφθηκε φάρμες και ἐργοστάσια ἀνακύκλωσης ἐκτός της περιοχής, ωστε νἀ υπάρξει συνολική εικὀνα γιὰ τἰς ποσότητες ἀποβλήτων και γιά το κόστος δημιουργίας παρόμοιων δομών στήν Ηλιδα.</w:t>
      </w:r>
    </w:p>
    <w:p w:rsidR="006A266F" w:rsidRDefault="006A266F" w:rsidP="006D71DE">
      <w:pPr>
        <w:jc w:val="both"/>
        <w:rPr>
          <w:lang w:val="el-GR"/>
        </w:rPr>
      </w:pPr>
      <w:r>
        <w:rPr>
          <w:lang w:val="el-GR"/>
        </w:rPr>
        <w:lastRenderedPageBreak/>
        <w:t xml:space="preserve">Ἡ ἐπιστημονική Ομάδα τοῦ έργου συνέβαλε στην ἀνάλυση </w:t>
      </w:r>
      <w:r>
        <w:t>SWOT</w:t>
      </w:r>
      <w:r w:rsidRPr="006A266F">
        <w:rPr>
          <w:lang w:val="el-GR"/>
        </w:rPr>
        <w:t xml:space="preserve">, </w:t>
      </w:r>
      <w:r>
        <w:rPr>
          <w:lang w:val="el-GR"/>
        </w:rPr>
        <w:t>ωστε νά έντοπισθοῦν ἀδυναμίες προκλήσεις , δυνατότητες , ευκαιρίες και κίνδυνοι.</w:t>
      </w:r>
    </w:p>
    <w:p w:rsidR="006A266F" w:rsidRPr="00466FFD" w:rsidRDefault="00CA6A53" w:rsidP="006D71DE">
      <w:pPr>
        <w:pStyle w:val="a7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Το πρώτο συμπέρασμα α</w:t>
      </w:r>
      <w:r w:rsidR="006A266F" w:rsidRPr="00466FFD">
        <w:rPr>
          <w:lang w:val="el-GR"/>
        </w:rPr>
        <w:t>π</w:t>
      </w:r>
      <w:r>
        <w:rPr>
          <w:lang w:val="el-GR"/>
        </w:rPr>
        <w:t>ό</w:t>
      </w:r>
      <w:r w:rsidR="006A266F" w:rsidRPr="00466FFD">
        <w:rPr>
          <w:lang w:val="el-GR"/>
        </w:rPr>
        <w:t xml:space="preserve"> τις πρ</w:t>
      </w:r>
      <w:r>
        <w:rPr>
          <w:lang w:val="el-GR"/>
        </w:rPr>
        <w:t>ώ</w:t>
      </w:r>
      <w:r w:rsidR="006A266F" w:rsidRPr="00466FFD">
        <w:rPr>
          <w:lang w:val="el-GR"/>
        </w:rPr>
        <w:t xml:space="preserve">τες αρχικές εκτιμήσεις </w:t>
      </w:r>
      <w:r w:rsidRPr="00466FFD">
        <w:rPr>
          <w:lang w:val="el-GR"/>
        </w:rPr>
        <w:t>είναι</w:t>
      </w:r>
      <w:r w:rsidR="006A266F" w:rsidRPr="00466FFD">
        <w:rPr>
          <w:lang w:val="el-GR"/>
        </w:rPr>
        <w:t xml:space="preserve"> οτι ἡ συλλογή τών αγρτικών πλασικών αποβλήτων είναι πράγματι ἐπιχειρηματική ευκαιρία μέ διαρκή παροχή πρώτης ὐλης και διαρκή ζήτήση άνακυκλωμένων πλαστικών. </w:t>
      </w:r>
    </w:p>
    <w:p w:rsidR="006A266F" w:rsidRPr="00466FFD" w:rsidRDefault="006A266F" w:rsidP="006D71DE">
      <w:pPr>
        <w:pStyle w:val="a7"/>
        <w:numPr>
          <w:ilvl w:val="0"/>
          <w:numId w:val="2"/>
        </w:numPr>
        <w:jc w:val="both"/>
        <w:rPr>
          <w:lang w:val="el-GR"/>
        </w:rPr>
      </w:pPr>
      <w:r w:rsidRPr="00466FFD">
        <w:rPr>
          <w:lang w:val="el-GR"/>
        </w:rPr>
        <w:t>Θετικές επιπτώ</w:t>
      </w:r>
      <w:r w:rsidR="007437E9" w:rsidRPr="00466FFD">
        <w:rPr>
          <w:lang w:val="el-GR"/>
        </w:rPr>
        <w:t>σ</w:t>
      </w:r>
      <w:r w:rsidRPr="00466FFD">
        <w:rPr>
          <w:lang w:val="el-GR"/>
        </w:rPr>
        <w:t>εις μπορούν νά υπάρξουν με την αυξηση της απασχόλησης στίς μοναδες συλλογής, καθαρισμού, μεταφορά,  επεξεργασίας και διάθεσης</w:t>
      </w:r>
      <w:r w:rsidR="007437E9" w:rsidRPr="00466FFD">
        <w:rPr>
          <w:lang w:val="el-GR"/>
        </w:rPr>
        <w:t xml:space="preserve">. </w:t>
      </w:r>
    </w:p>
    <w:p w:rsidR="007437E9" w:rsidRPr="00466FFD" w:rsidRDefault="007437E9" w:rsidP="006D71DE">
      <w:pPr>
        <w:pStyle w:val="a7"/>
        <w:numPr>
          <w:ilvl w:val="0"/>
          <w:numId w:val="2"/>
        </w:numPr>
        <w:jc w:val="both"/>
        <w:rPr>
          <w:lang w:val="el-GR"/>
        </w:rPr>
      </w:pPr>
      <w:r w:rsidRPr="00466FFD">
        <w:rPr>
          <w:lang w:val="el-GR"/>
        </w:rPr>
        <w:t>Εξετάσθηκε επίσης η δυνατότητα δημιουργία  πιλοτικού ένεργειακού σταθμού σέ συνάφεια μέ τον υπό δημιουργία σταθμό αποβλήτων.</w:t>
      </w:r>
    </w:p>
    <w:p w:rsidR="00EA63D0" w:rsidRPr="00EA63D0" w:rsidRDefault="007437E9" w:rsidP="006D71DE">
      <w:pPr>
        <w:jc w:val="both"/>
        <w:rPr>
          <w:lang w:val="el-GR"/>
        </w:rPr>
      </w:pPr>
      <w:r>
        <w:rPr>
          <w:lang w:val="el-GR"/>
        </w:rPr>
        <w:t>Οι ερευνες και τα ευρήματα θα παρουσιασθούν τόν επόμενο μήνα στήν διεθνή επιστημονική διάσκεψη που θα διεξαχθ</w:t>
      </w:r>
      <w:r w:rsidR="00CA6A53">
        <w:rPr>
          <w:lang w:val="el-GR"/>
        </w:rPr>
        <w:t>εί</w:t>
      </w:r>
      <w:r>
        <w:rPr>
          <w:lang w:val="el-GR"/>
        </w:rPr>
        <w:t xml:space="preserve"> αρχές Νοεμβρίου στην Αμαλιάδα.</w:t>
      </w:r>
      <w:r w:rsidR="00466FFD">
        <w:rPr>
          <w:lang w:val="el-GR"/>
        </w:rPr>
        <w:t xml:space="preserve"> </w:t>
      </w:r>
      <w:r w:rsidR="00AE31C5">
        <w:rPr>
          <w:lang w:val="el-GR"/>
        </w:rPr>
        <w:t xml:space="preserve">Επόμενοι </w:t>
      </w:r>
      <w:r w:rsidR="00EA63D0" w:rsidRPr="00EA63D0">
        <w:rPr>
          <w:lang w:val="el-GR"/>
        </w:rPr>
        <w:t xml:space="preserve"> στόχοι</w:t>
      </w:r>
      <w:r w:rsidR="00AE31C5">
        <w:rPr>
          <w:lang w:val="el-GR"/>
        </w:rPr>
        <w:t xml:space="preserve"> τού προγράμματος</w:t>
      </w:r>
      <w:r w:rsidR="00EA63D0" w:rsidRPr="00EA63D0">
        <w:rPr>
          <w:lang w:val="el-GR"/>
        </w:rPr>
        <w:t xml:space="preserve"> </w:t>
      </w:r>
      <w:r w:rsidR="00AE31C5">
        <w:rPr>
          <w:lang w:val="el-GR"/>
        </w:rPr>
        <w:t xml:space="preserve"> ε</w:t>
      </w:r>
      <w:r w:rsidR="00CA6A53">
        <w:rPr>
          <w:lang w:val="el-GR"/>
        </w:rPr>
        <w:t>ί</w:t>
      </w:r>
      <w:r w:rsidR="00AE31C5">
        <w:rPr>
          <w:lang w:val="el-GR"/>
        </w:rPr>
        <w:t>ναι</w:t>
      </w:r>
    </w:p>
    <w:p w:rsidR="00466FFD" w:rsidRDefault="00AE31C5" w:rsidP="006D71DE">
      <w:pPr>
        <w:pStyle w:val="a7"/>
        <w:numPr>
          <w:ilvl w:val="0"/>
          <w:numId w:val="4"/>
        </w:numPr>
        <w:jc w:val="both"/>
        <w:rPr>
          <w:lang w:val="el-GR"/>
        </w:rPr>
      </w:pPr>
      <w:r w:rsidRPr="00466FFD">
        <w:rPr>
          <w:lang w:val="el-GR"/>
        </w:rPr>
        <w:t>Αξιοποίηση της</w:t>
      </w:r>
      <w:r w:rsidR="00EA63D0" w:rsidRPr="00466FFD">
        <w:rPr>
          <w:lang w:val="el-GR"/>
        </w:rPr>
        <w:t xml:space="preserve"> τεχνολογία</w:t>
      </w:r>
      <w:r w:rsidRPr="00466FFD">
        <w:rPr>
          <w:lang w:val="el-GR"/>
        </w:rPr>
        <w:t>ς</w:t>
      </w:r>
      <w:r w:rsidR="00EA63D0" w:rsidRPr="00466FFD">
        <w:rPr>
          <w:lang w:val="el-GR"/>
        </w:rPr>
        <w:t xml:space="preserve"> (</w:t>
      </w:r>
      <w:r w:rsidR="00EA63D0">
        <w:t>GIS</w:t>
      </w:r>
      <w:r w:rsidR="00EA63D0" w:rsidRPr="00466FFD">
        <w:rPr>
          <w:lang w:val="el-GR"/>
        </w:rPr>
        <w:t xml:space="preserve">) για τη συλλογή και ανάλυση των δεδομένων και τη λήψη </w:t>
      </w:r>
      <w:r w:rsidR="00EA63D0">
        <w:t>trans</w:t>
      </w:r>
      <w:r w:rsidR="00EA63D0" w:rsidRPr="00466FFD">
        <w:rPr>
          <w:lang w:val="el-GR"/>
        </w:rPr>
        <w:t xml:space="preserve">-εθνική πολιτική για τη μείωση </w:t>
      </w:r>
      <w:r w:rsidR="00EA63D0">
        <w:t>APW</w:t>
      </w:r>
      <w:r w:rsidR="00EA63D0" w:rsidRPr="00466FFD">
        <w:rPr>
          <w:lang w:val="el-GR"/>
        </w:rPr>
        <w:t xml:space="preserve"> και διάθεση</w:t>
      </w:r>
    </w:p>
    <w:p w:rsidR="00466FFD" w:rsidRDefault="00EA63D0" w:rsidP="006D71DE">
      <w:pPr>
        <w:pStyle w:val="a7"/>
        <w:numPr>
          <w:ilvl w:val="0"/>
          <w:numId w:val="4"/>
        </w:numPr>
        <w:jc w:val="both"/>
        <w:rPr>
          <w:lang w:val="el-GR"/>
        </w:rPr>
      </w:pPr>
      <w:r w:rsidRPr="00466FFD">
        <w:rPr>
          <w:lang w:val="el-GR"/>
        </w:rPr>
        <w:t xml:space="preserve">Προώθηση της </w:t>
      </w:r>
      <w:r w:rsidR="00AE31C5" w:rsidRPr="00466FFD">
        <w:rPr>
          <w:lang w:val="el-GR"/>
        </w:rPr>
        <w:t xml:space="preserve">έκδοσης και </w:t>
      </w:r>
      <w:r w:rsidRPr="00466FFD">
        <w:rPr>
          <w:lang w:val="el-GR"/>
        </w:rPr>
        <w:t xml:space="preserve">εφαρμογής </w:t>
      </w:r>
      <w:r w:rsidR="00AE31C5" w:rsidRPr="00466FFD">
        <w:rPr>
          <w:lang w:val="el-GR"/>
        </w:rPr>
        <w:t xml:space="preserve">κανόνων στήν </w:t>
      </w:r>
      <w:r w:rsidRPr="00466FFD">
        <w:rPr>
          <w:lang w:val="el-GR"/>
        </w:rPr>
        <w:t xml:space="preserve"> ΕΕ και </w:t>
      </w:r>
      <w:r w:rsidR="00AE31C5" w:rsidRPr="00466FFD">
        <w:rPr>
          <w:lang w:val="el-GR"/>
        </w:rPr>
        <w:t xml:space="preserve">δημιουργία προτύπων για </w:t>
      </w:r>
      <w:r w:rsidRPr="00466FFD">
        <w:rPr>
          <w:lang w:val="el-GR"/>
        </w:rPr>
        <w:t>τις τοπικές δημόσιες πολιτικές για τη μείωση των ροών αποβλήτων</w:t>
      </w:r>
    </w:p>
    <w:p w:rsidR="00466FFD" w:rsidRDefault="00EA63D0" w:rsidP="006D71DE">
      <w:pPr>
        <w:pStyle w:val="a7"/>
        <w:numPr>
          <w:ilvl w:val="0"/>
          <w:numId w:val="4"/>
        </w:numPr>
        <w:jc w:val="both"/>
        <w:rPr>
          <w:lang w:val="el-GR"/>
        </w:rPr>
      </w:pPr>
      <w:r w:rsidRPr="00466FFD">
        <w:rPr>
          <w:lang w:val="el-GR"/>
        </w:rPr>
        <w:t>Μεταφορά τεχνολογίας στις μικρές γεωργικές επιχειρήσεις για την α</w:t>
      </w:r>
      <w:r w:rsidR="00AE31C5" w:rsidRPr="00466FFD">
        <w:rPr>
          <w:lang w:val="el-GR"/>
        </w:rPr>
        <w:t>ντικατάσταση των μη ανακυκλώσιμων  πλαστικων</w:t>
      </w:r>
      <w:r w:rsidRPr="00466FFD">
        <w:rPr>
          <w:lang w:val="el-GR"/>
        </w:rPr>
        <w:t xml:space="preserve"> με καθαρότ</w:t>
      </w:r>
      <w:r w:rsidR="00AE31C5" w:rsidRPr="00466FFD">
        <w:rPr>
          <w:lang w:val="el-GR"/>
        </w:rPr>
        <w:t>ερες καινοτόμες λύσεις για</w:t>
      </w:r>
      <w:r w:rsidRPr="00466FFD">
        <w:rPr>
          <w:lang w:val="el-GR"/>
        </w:rPr>
        <w:t xml:space="preserve"> τη βελτιστοποίηση της διαχείρισης των αποβλήτων </w:t>
      </w:r>
    </w:p>
    <w:p w:rsidR="00466FFD" w:rsidRDefault="00466FFD" w:rsidP="006D71DE">
      <w:pPr>
        <w:pStyle w:val="a7"/>
        <w:numPr>
          <w:ilvl w:val="0"/>
          <w:numId w:val="4"/>
        </w:numPr>
        <w:jc w:val="both"/>
        <w:rPr>
          <w:lang w:val="el-GR"/>
        </w:rPr>
      </w:pPr>
      <w:r w:rsidRPr="00466FFD">
        <w:rPr>
          <w:lang w:val="el-GR"/>
        </w:rPr>
        <w:t>Ε</w:t>
      </w:r>
      <w:r w:rsidR="00AE31C5" w:rsidRPr="00466FFD">
        <w:rPr>
          <w:lang w:val="el-GR"/>
        </w:rPr>
        <w:t>υαισθητοποίηση των αγροτών</w:t>
      </w:r>
    </w:p>
    <w:p w:rsidR="00466FFD" w:rsidRDefault="00EA63D0" w:rsidP="006D71DE">
      <w:pPr>
        <w:pStyle w:val="a7"/>
        <w:numPr>
          <w:ilvl w:val="0"/>
          <w:numId w:val="4"/>
        </w:numPr>
        <w:jc w:val="both"/>
        <w:rPr>
          <w:lang w:val="el-GR"/>
        </w:rPr>
      </w:pPr>
      <w:r w:rsidRPr="00466FFD">
        <w:rPr>
          <w:lang w:val="el-GR"/>
        </w:rPr>
        <w:t xml:space="preserve">Ενίσχυση της δημιουργίας νέων μικρών επιχειρήσεων στον τομέα της συλλογής και της ανακύκλωσης των πλαστικών αποβλήτων </w:t>
      </w:r>
    </w:p>
    <w:p w:rsidR="00267DCD" w:rsidRPr="00466FFD" w:rsidRDefault="00EA63D0" w:rsidP="006D71DE">
      <w:pPr>
        <w:pStyle w:val="a7"/>
        <w:numPr>
          <w:ilvl w:val="0"/>
          <w:numId w:val="4"/>
        </w:numPr>
        <w:jc w:val="both"/>
        <w:rPr>
          <w:lang w:val="el-GR"/>
        </w:rPr>
      </w:pPr>
      <w:r w:rsidRPr="00466FFD">
        <w:rPr>
          <w:lang w:val="el-GR"/>
        </w:rPr>
        <w:t>Ενσωμάτωση αποτελεσμάτων σε περιφερειακές / εθνικές πολιτικές</w:t>
      </w:r>
      <w:r w:rsidR="006A266F" w:rsidRPr="00466FFD">
        <w:rPr>
          <w:lang w:val="el-GR"/>
        </w:rPr>
        <w:t>.</w:t>
      </w:r>
    </w:p>
    <w:p w:rsidR="007437E9" w:rsidRDefault="00CA6A53" w:rsidP="006D71DE">
      <w:pPr>
        <w:jc w:val="both"/>
        <w:rPr>
          <w:lang w:val="el-GR"/>
        </w:rPr>
      </w:pPr>
      <w:r>
        <w:rPr>
          <w:lang w:val="el-GR"/>
        </w:rPr>
        <w:t xml:space="preserve">Η </w:t>
      </w:r>
      <w:r>
        <w:t>ad</w:t>
      </w:r>
      <w:r w:rsidRPr="007437E9">
        <w:rPr>
          <w:lang w:val="el-GR"/>
        </w:rPr>
        <w:t xml:space="preserve"> </w:t>
      </w:r>
      <w:r>
        <w:t>hoc</w:t>
      </w:r>
      <w:r>
        <w:rPr>
          <w:lang w:val="el-GR"/>
        </w:rPr>
        <w:t xml:space="preserve"> επιστημονική ομάδα  που διεξήγαγε την έρευνα, υπό την επίβλεψη του καθηγητή εφαρμογών στατιστικής &amp; επιχειρησιακής έρευνας και υπεύθυνου ποιότητος του έργου, Γιώργου Κακαρελίδη,  απαρτίζεται από τους: </w:t>
      </w:r>
      <w:r w:rsidR="00844660">
        <w:rPr>
          <w:lang w:val="el-GR"/>
        </w:rPr>
        <w:t xml:space="preserve"> </w:t>
      </w:r>
      <w:r>
        <w:rPr>
          <w:lang w:val="el-GR"/>
        </w:rPr>
        <w:t>Ζαφειρόπουλο Διονύσιο(Υπεύθυνο Έργου), Γκρίλλα</w:t>
      </w:r>
      <w:r w:rsidRPr="006D71DE">
        <w:rPr>
          <w:lang w:val="el-GR"/>
        </w:rPr>
        <w:t xml:space="preserve"> Σωτήριο, Κρίσπη Αθανάσιο</w:t>
      </w:r>
      <w:r>
        <w:rPr>
          <w:lang w:val="el-GR"/>
        </w:rPr>
        <w:t>, Ρουμελιώτη Στέφανο, Αστερή</w:t>
      </w:r>
      <w:r w:rsidRPr="006D71DE">
        <w:rPr>
          <w:lang w:val="el-GR"/>
        </w:rPr>
        <w:t xml:space="preserve"> Θεοδώρα, Γιαννούλη Νικόλαο, Τεφάνη Ελένη</w:t>
      </w:r>
      <w:r>
        <w:rPr>
          <w:lang w:val="el-GR"/>
        </w:rPr>
        <w:t>,</w:t>
      </w:r>
      <w:r w:rsidRPr="006D71DE">
        <w:rPr>
          <w:lang w:val="el-GR"/>
        </w:rPr>
        <w:t xml:space="preserve"> Ανδριοπούλου Αθανασία</w:t>
      </w:r>
      <w:r>
        <w:rPr>
          <w:lang w:val="el-GR"/>
        </w:rPr>
        <w:t xml:space="preserve"> (Υπεύθυνη</w:t>
      </w:r>
      <w:r w:rsidRPr="006D71DE">
        <w:rPr>
          <w:lang w:val="el-GR"/>
        </w:rPr>
        <w:t xml:space="preserve"> Οικονομικών Συναλλαγών και Τραπεζικού Λογαριασμού Έργου</w:t>
      </w:r>
      <w:r>
        <w:rPr>
          <w:lang w:val="el-GR"/>
        </w:rPr>
        <w:t>) εκ μέρους της ομάδος έργου του Δήμου καθώς και τους εξωτερικούς συνεργάτες  την Μαίρη Μιχοπούλου (Διοικητικό-Οικονομική ή Υποστήριξη έργου), Νίκο Παπαϊωάννου (Ενεργειακά), Νίκο Πετρόπουλο (Επικοινωνία).</w:t>
      </w:r>
    </w:p>
    <w:p w:rsidR="007437E9" w:rsidRPr="00B32A95" w:rsidRDefault="007437E9" w:rsidP="006D71DE">
      <w:pPr>
        <w:jc w:val="both"/>
        <w:rPr>
          <w:b/>
          <w:lang w:val="el-GR"/>
        </w:rPr>
      </w:pPr>
      <w:r w:rsidRPr="00B32A95">
        <w:rPr>
          <w:b/>
          <w:lang w:val="el-GR"/>
        </w:rPr>
        <w:t>Η επιστημονική ομάδα ευχαριστεί τον απερχόμενο Δήμαρχο κ. Ι. Λυμπέρη για την συνεργασ</w:t>
      </w:r>
      <w:r w:rsidR="00466FFD">
        <w:rPr>
          <w:b/>
          <w:lang w:val="el-GR"/>
        </w:rPr>
        <w:t xml:space="preserve">ία, και τον νύν </w:t>
      </w:r>
      <w:r w:rsidR="006D71DE">
        <w:rPr>
          <w:b/>
          <w:lang w:val="el-GR"/>
        </w:rPr>
        <w:t>Δήμαρχο</w:t>
      </w:r>
      <w:r w:rsidR="00466FFD">
        <w:rPr>
          <w:b/>
          <w:lang w:val="el-GR"/>
        </w:rPr>
        <w:t xml:space="preserve"> κ. Χρήστο Χριστοδουλόπουλο</w:t>
      </w:r>
      <w:r w:rsidRPr="00B32A95">
        <w:rPr>
          <w:b/>
          <w:lang w:val="el-GR"/>
        </w:rPr>
        <w:t xml:space="preserve"> για την άμεση υποστήριξη του</w:t>
      </w:r>
      <w:r w:rsidR="00CA6A53">
        <w:rPr>
          <w:b/>
          <w:lang w:val="el-GR"/>
        </w:rPr>
        <w:t>.</w:t>
      </w:r>
    </w:p>
    <w:sectPr w:rsidR="007437E9" w:rsidRPr="00B32A95" w:rsidSect="00267DC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F27" w:rsidRDefault="00E24F27" w:rsidP="00B32A95">
      <w:pPr>
        <w:spacing w:after="0" w:line="240" w:lineRule="auto"/>
      </w:pPr>
      <w:r>
        <w:separator/>
      </w:r>
    </w:p>
  </w:endnote>
  <w:endnote w:type="continuationSeparator" w:id="0">
    <w:p w:rsidR="00E24F27" w:rsidRDefault="00E24F27" w:rsidP="00B3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36"/>
      <w:gridCol w:w="1386"/>
      <w:gridCol w:w="996"/>
      <w:gridCol w:w="1146"/>
      <w:gridCol w:w="1266"/>
      <w:gridCol w:w="778"/>
      <w:gridCol w:w="1206"/>
      <w:gridCol w:w="1266"/>
    </w:tblGrid>
    <w:tr w:rsidR="00B32A95" w:rsidRPr="00DA7526" w:rsidTr="00EA10EE">
      <w:tc>
        <w:tcPr>
          <w:tcW w:w="838" w:type="dxa"/>
        </w:tcPr>
        <w:p w:rsidR="00B32A95" w:rsidRPr="00DA7526" w:rsidRDefault="00B32A95" w:rsidP="00EA10EE">
          <w:pPr>
            <w:spacing w:after="0" w:line="240" w:lineRule="auto"/>
            <w:jc w:val="right"/>
            <w:rPr>
              <w:rFonts w:ascii="Tahoma" w:hAnsi="Tahoma" w:cs="Tahoma"/>
              <w:sz w:val="12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438150" cy="638175"/>
                <wp:effectExtent l="19050" t="0" r="0" b="0"/>
                <wp:docPr id="9" name="Εικόνα 64" descr="logo EK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4" descr="logo EK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8" w:type="dxa"/>
        </w:tcPr>
        <w:p w:rsidR="00B32A95" w:rsidRPr="00DA7526" w:rsidRDefault="00B32A95" w:rsidP="00EA10EE">
          <w:pPr>
            <w:spacing w:after="0" w:line="240" w:lineRule="auto"/>
            <w:jc w:val="right"/>
            <w:rPr>
              <w:rFonts w:ascii="Tahoma" w:hAnsi="Tahoma" w:cs="Tahoma"/>
              <w:sz w:val="12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723900" cy="514350"/>
                <wp:effectExtent l="19050" t="0" r="0" b="0"/>
                <wp:docPr id="8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" w:type="dxa"/>
        </w:tcPr>
        <w:p w:rsidR="00B32A95" w:rsidRPr="00DA7526" w:rsidRDefault="00B32A95" w:rsidP="00EA10EE">
          <w:pPr>
            <w:spacing w:after="0" w:line="240" w:lineRule="auto"/>
            <w:jc w:val="right"/>
            <w:rPr>
              <w:rFonts w:ascii="Tahoma" w:hAnsi="Tahoma" w:cs="Tahoma"/>
              <w:sz w:val="12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466725" cy="619125"/>
                <wp:effectExtent l="19050" t="0" r="9525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6" w:type="dxa"/>
        </w:tcPr>
        <w:p w:rsidR="00B32A95" w:rsidRPr="00DA7526" w:rsidRDefault="00B32A95" w:rsidP="00EA10EE">
          <w:pPr>
            <w:spacing w:after="0" w:line="240" w:lineRule="auto"/>
            <w:jc w:val="right"/>
            <w:rPr>
              <w:rFonts w:ascii="Tahoma" w:hAnsi="Tahoma" w:cs="Tahoma"/>
              <w:sz w:val="12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561975" cy="561975"/>
                <wp:effectExtent l="19050" t="0" r="9525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0" w:type="dxa"/>
        </w:tcPr>
        <w:p w:rsidR="00B32A95" w:rsidRPr="00DA7526" w:rsidRDefault="00B32A95" w:rsidP="00EA10EE">
          <w:pPr>
            <w:spacing w:after="0" w:line="240" w:lineRule="auto"/>
            <w:jc w:val="right"/>
            <w:rPr>
              <w:rFonts w:ascii="Tahoma" w:hAnsi="Tahoma" w:cs="Tahoma"/>
              <w:sz w:val="12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647700" cy="352425"/>
                <wp:effectExtent l="19050" t="0" r="0" b="0"/>
                <wp:docPr id="2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" w:type="dxa"/>
        </w:tcPr>
        <w:p w:rsidR="00B32A95" w:rsidRPr="00451473" w:rsidRDefault="00B32A95" w:rsidP="00EA10EE">
          <w:pPr>
            <w:spacing w:after="0" w:line="240" w:lineRule="auto"/>
            <w:jc w:val="right"/>
            <w:rPr>
              <w:rFonts w:ascii="Tahoma" w:hAnsi="Tahoma" w:cs="Tahoma"/>
              <w:sz w:val="12"/>
              <w:szCs w:val="16"/>
            </w:rPr>
          </w:pPr>
          <w:r w:rsidRPr="00451473">
            <w:rPr>
              <w:rFonts w:ascii="Tahoma" w:hAnsi="Tahoma" w:cs="Tahoma"/>
              <w:sz w:val="12"/>
              <w:szCs w:val="16"/>
            </w:rPr>
            <w:t>Regional Federation of Farmers Puglia</w:t>
          </w:r>
        </w:p>
      </w:tc>
      <w:tc>
        <w:tcPr>
          <w:tcW w:w="1086" w:type="dxa"/>
        </w:tcPr>
        <w:p w:rsidR="00B32A95" w:rsidRPr="00DA7526" w:rsidRDefault="00B32A95" w:rsidP="00EA10EE">
          <w:pPr>
            <w:spacing w:after="0" w:line="240" w:lineRule="auto"/>
            <w:jc w:val="right"/>
            <w:rPr>
              <w:rFonts w:ascii="Tahoma" w:hAnsi="Tahoma" w:cs="Tahoma"/>
              <w:sz w:val="12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609600" cy="514350"/>
                <wp:effectExtent l="1905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:rsidR="00B32A95" w:rsidRPr="00DA7526" w:rsidRDefault="00B32A95" w:rsidP="00EA10EE">
          <w:pPr>
            <w:spacing w:after="0" w:line="240" w:lineRule="auto"/>
            <w:jc w:val="right"/>
            <w:rPr>
              <w:rFonts w:ascii="Tahoma" w:hAnsi="Tahoma" w:cs="Tahoma"/>
              <w:sz w:val="12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647700" cy="419100"/>
                <wp:effectExtent l="19050" t="0" r="0" b="0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pPr w:leftFromText="180" w:rightFromText="180" w:vertAnchor="text" w:horzAnchor="margin" w:tblpXSpec="center" w:tblpY="-31"/>
      <w:tblOverlap w:val="never"/>
      <w:tblW w:w="4420" w:type="pct"/>
      <w:tblInd w:w="108" w:type="dxa"/>
      <w:tblLook w:val="01E0"/>
    </w:tblPr>
    <w:tblGrid>
      <w:gridCol w:w="8465"/>
    </w:tblGrid>
    <w:tr w:rsidR="00B32A95" w:rsidRPr="00466FFD" w:rsidTr="00EA10EE">
      <w:trPr>
        <w:trHeight w:val="32"/>
      </w:trPr>
      <w:tc>
        <w:tcPr>
          <w:tcW w:w="5000" w:type="pct"/>
          <w:vAlign w:val="center"/>
        </w:tcPr>
        <w:p w:rsidR="00B32A95" w:rsidRPr="00B32A95" w:rsidRDefault="00B32A95" w:rsidP="00EA10EE">
          <w:pPr>
            <w:pStyle w:val="a5"/>
            <w:spacing w:before="20" w:after="20"/>
            <w:jc w:val="center"/>
            <w:rPr>
              <w:color w:val="002060"/>
              <w:lang w:val="el-GR"/>
            </w:rPr>
          </w:pPr>
          <w:r w:rsidRPr="00B32A95">
            <w:rPr>
              <w:rFonts w:ascii="Arial" w:hAnsi="Arial" w:cs="Arial"/>
              <w:b/>
              <w:color w:val="002060"/>
              <w:sz w:val="16"/>
              <w:szCs w:val="10"/>
              <w:lang w:val="el-GR"/>
            </w:rPr>
            <w:t>Με τη συγχρηματοδότηση της Ελλάδας και της Ευρωπαϊκής Ένωσης</w:t>
          </w:r>
        </w:p>
      </w:tc>
    </w:tr>
  </w:tbl>
  <w:p w:rsidR="00B32A95" w:rsidRPr="00B32A95" w:rsidRDefault="00B32A95">
    <w:pPr>
      <w:pStyle w:val="a5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F27" w:rsidRDefault="00E24F27" w:rsidP="00B32A95">
      <w:pPr>
        <w:spacing w:after="0" w:line="240" w:lineRule="auto"/>
      </w:pPr>
      <w:r>
        <w:separator/>
      </w:r>
    </w:p>
  </w:footnote>
  <w:footnote w:type="continuationSeparator" w:id="0">
    <w:p w:rsidR="00E24F27" w:rsidRDefault="00E24F27" w:rsidP="00B3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26088"/>
    <w:multiLevelType w:val="hybridMultilevel"/>
    <w:tmpl w:val="F52C22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20577"/>
    <w:multiLevelType w:val="hybridMultilevel"/>
    <w:tmpl w:val="B052C0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778CB"/>
    <w:multiLevelType w:val="hybridMultilevel"/>
    <w:tmpl w:val="D57CA4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5468B"/>
    <w:multiLevelType w:val="hybridMultilevel"/>
    <w:tmpl w:val="EB8C14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3D0"/>
    <w:rsid w:val="00267DCD"/>
    <w:rsid w:val="00466FFD"/>
    <w:rsid w:val="00572911"/>
    <w:rsid w:val="006A266F"/>
    <w:rsid w:val="006D71DE"/>
    <w:rsid w:val="007437E9"/>
    <w:rsid w:val="00844660"/>
    <w:rsid w:val="00852C6B"/>
    <w:rsid w:val="00AE31C5"/>
    <w:rsid w:val="00B32A95"/>
    <w:rsid w:val="00CA6A53"/>
    <w:rsid w:val="00E24F27"/>
    <w:rsid w:val="00E86C87"/>
    <w:rsid w:val="00EA63D0"/>
    <w:rsid w:val="00F1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B3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B32A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32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32A95"/>
  </w:style>
  <w:style w:type="paragraph" w:styleId="a5">
    <w:name w:val="footer"/>
    <w:aliases w:val="ft"/>
    <w:basedOn w:val="a"/>
    <w:link w:val="Char1"/>
    <w:unhideWhenUsed/>
    <w:rsid w:val="00B32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aliases w:val="ft Char"/>
    <w:basedOn w:val="a0"/>
    <w:link w:val="a5"/>
    <w:rsid w:val="00B32A95"/>
  </w:style>
  <w:style w:type="paragraph" w:styleId="a6">
    <w:name w:val="Balloon Text"/>
    <w:basedOn w:val="a"/>
    <w:link w:val="Char2"/>
    <w:uiPriority w:val="99"/>
    <w:semiHidden/>
    <w:unhideWhenUsed/>
    <w:rsid w:val="00B3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B32A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6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giolanda garini</dc:creator>
  <cp:lastModifiedBy>USER</cp:lastModifiedBy>
  <cp:revision>2</cp:revision>
  <dcterms:created xsi:type="dcterms:W3CDTF">2014-09-29T16:16:00Z</dcterms:created>
  <dcterms:modified xsi:type="dcterms:W3CDTF">2014-09-29T16:16:00Z</dcterms:modified>
</cp:coreProperties>
</file>